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11</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407935</w:t>
      </w:r>
    </w:p>
    <w:p>
      <w:pPr>
        <w:pStyle w:val="18"/>
        <w:tabs>
          <w:tab w:val="right" w:pos="9781"/>
          <w:tab w:val="right" w:pos="13323"/>
          <w:tab w:val="clear" w:pos="4153"/>
          <w:tab w:val="clear" w:pos="8306"/>
        </w:tabs>
        <w:spacing w:before="60" w:after="60"/>
        <w:outlineLvl w:val="0"/>
        <w:rPr>
          <w:rFonts w:ascii="Arial" w:hAnsi="Arial" w:eastAsia="宋体" w:cs="Arial"/>
          <w:b/>
          <w:sz w:val="24"/>
          <w:szCs w:val="24"/>
          <w:lang w:eastAsia="zh-CN"/>
        </w:rPr>
      </w:pPr>
      <w:bookmarkStart w:id="1" w:name="_Hlk130672791"/>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bookmarkEnd w:id="1"/>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7.24.2.1</w:t>
      </w:r>
    </w:p>
    <w:p>
      <w:pPr>
        <w:tabs>
          <w:tab w:val="left" w:pos="1765"/>
        </w:tabs>
        <w:rPr>
          <w:sz w:val="22"/>
        </w:rPr>
      </w:pPr>
      <w:r>
        <w:rPr>
          <w:b/>
          <w:sz w:val="22"/>
        </w:rPr>
        <w:t xml:space="preserve">Source: </w:t>
      </w:r>
      <w:r>
        <w:rPr>
          <w:b/>
          <w:sz w:val="22"/>
        </w:rPr>
        <w:tab/>
      </w:r>
      <w:bookmarkStart w:id="2" w:name="_Hlk41145958"/>
      <w:r>
        <w:rPr>
          <w:sz w:val="22"/>
        </w:rPr>
        <w:t>CMCC</w:t>
      </w:r>
      <w:bookmarkEnd w:id="2"/>
      <w:r>
        <w:rPr>
          <w:sz w:val="22"/>
        </w:rPr>
        <w:t xml:space="preserve"> </w:t>
      </w:r>
      <w:bookmarkStart w:id="10" w:name="_GoBack"/>
      <w:bookmarkEnd w:id="10"/>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w:t>
      </w:r>
      <w:bookmarkEnd w:id="3"/>
      <w:r>
        <w:rPr>
          <w:rFonts w:hint="eastAsia"/>
          <w:sz w:val="22"/>
        </w:rPr>
        <w:t xml:space="preserve">(Netw_Energy_NR-Perf) Discussion on RRM </w:t>
      </w:r>
      <w:r>
        <w:rPr>
          <w:rFonts w:hint="eastAsia"/>
          <w:sz w:val="22"/>
          <w:lang w:val="en-US" w:eastAsia="zh-CN"/>
        </w:rPr>
        <w:t>test setup</w:t>
      </w:r>
      <w:r>
        <w:rPr>
          <w:rFonts w:hint="eastAsia"/>
          <w:sz w:val="22"/>
        </w:rPr>
        <w:t xml:space="preserve"> for SSB-less SCell</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In last meeting, RAN4 agreed the test case list and a few test configurations for FR1 inter-band SSB-less activation, the WF has been approved [1]. In this contribution, we provide our views on the FFS specific test configuration.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_Hlk70326378"/>
      <w:bookmarkStart w:id="7" w:name="OLE_LINK2"/>
      <w:bookmarkStart w:id="8" w:name="OLE_LINK1"/>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rPr>
          <w:b/>
          <w:i/>
          <w:iCs/>
          <w:sz w:val="20"/>
          <w:szCs w:val="20"/>
          <w:u w:val="single"/>
          <w:lang w:eastAsia="ko-KR"/>
        </w:rPr>
      </w:pPr>
      <w:bookmarkStart w:id="9" w:name="_Hlk163639826"/>
      <w:r>
        <w:rPr>
          <w:b/>
          <w:i/>
          <w:iCs/>
          <w:sz w:val="20"/>
          <w:szCs w:val="20"/>
          <w:u w:val="single"/>
          <w:lang w:eastAsia="ko-KR"/>
        </w:rPr>
        <w:t>Issue 2-1-1: Test configurations for SSB-less</w:t>
      </w:r>
    </w:p>
    <w:bookmarkEnd w:id="9"/>
    <w:p>
      <w:pPr>
        <w:spacing w:after="120"/>
        <w:rPr>
          <w:i/>
          <w:iCs/>
          <w:sz w:val="20"/>
          <w:szCs w:val="20"/>
          <w:highlight w:val="green"/>
          <w:lang w:eastAsia="zh-CN"/>
        </w:rPr>
      </w:pPr>
      <w:r>
        <w:rPr>
          <w:rFonts w:hint="eastAsia"/>
          <w:i/>
          <w:iCs/>
          <w:sz w:val="20"/>
          <w:szCs w:val="20"/>
          <w:highlight w:val="green"/>
          <w:lang w:eastAsia="zh-CN"/>
        </w:rPr>
        <w:t>A</w:t>
      </w:r>
      <w:r>
        <w:rPr>
          <w:i/>
          <w:iCs/>
          <w:sz w:val="20"/>
          <w:szCs w:val="20"/>
          <w:highlight w:val="green"/>
          <w:lang w:eastAsia="zh-CN"/>
        </w:rPr>
        <w:t>greement on Test configurations for SSB-less</w:t>
      </w:r>
    </w:p>
    <w:p>
      <w:pPr>
        <w:pStyle w:val="76"/>
        <w:numPr>
          <w:ilvl w:val="0"/>
          <w:numId w:val="4"/>
        </w:numPr>
        <w:spacing w:after="120"/>
        <w:ind w:firstLineChars="0"/>
        <w:rPr>
          <w:i/>
          <w:iCs/>
          <w:sz w:val="20"/>
          <w:szCs w:val="20"/>
          <w:lang w:eastAsia="zh-CN"/>
        </w:rPr>
      </w:pPr>
      <w:r>
        <w:rPr>
          <w:i/>
          <w:iCs/>
          <w:sz w:val="20"/>
          <w:szCs w:val="20"/>
          <w:lang w:eastAsia="zh-CN"/>
        </w:rPr>
        <w:t>Single P-TRS is configured in SSB-less SCell in the SSB-less SCell activation TCs</w:t>
      </w:r>
    </w:p>
    <w:p>
      <w:pPr>
        <w:pStyle w:val="76"/>
        <w:numPr>
          <w:ilvl w:val="0"/>
          <w:numId w:val="4"/>
        </w:numPr>
        <w:spacing w:after="120"/>
        <w:ind w:firstLineChars="0"/>
        <w:rPr>
          <w:i/>
          <w:iCs/>
          <w:sz w:val="20"/>
          <w:szCs w:val="20"/>
          <w:lang w:eastAsia="zh-CN"/>
        </w:rPr>
      </w:pPr>
      <w:r>
        <w:rPr>
          <w:i/>
          <w:iCs/>
          <w:sz w:val="20"/>
          <w:szCs w:val="20"/>
          <w:lang w:eastAsia="zh-CN"/>
        </w:rPr>
        <w:t>Don’t configure the parameter SCell measurement cycle (measCycleSCell), SSB configuration and SMTC configuration for SSB-less SCell</w:t>
      </w:r>
    </w:p>
    <w:p>
      <w:pPr>
        <w:pStyle w:val="76"/>
        <w:numPr>
          <w:ilvl w:val="0"/>
          <w:numId w:val="4"/>
        </w:numPr>
        <w:spacing w:after="120"/>
        <w:ind w:firstLineChars="0"/>
        <w:rPr>
          <w:i/>
          <w:iCs/>
          <w:sz w:val="20"/>
          <w:szCs w:val="20"/>
          <w:lang w:eastAsia="zh-CN"/>
        </w:rPr>
      </w:pPr>
      <w:r>
        <w:rPr>
          <w:i/>
          <w:iCs/>
          <w:sz w:val="20"/>
          <w:szCs w:val="20"/>
          <w:lang w:eastAsia="zh-CN"/>
        </w:rPr>
        <w:t xml:space="preserve">Set EPRE difference as [9 dB] + [ΔPL] in the test cases. </w:t>
      </w:r>
    </w:p>
    <w:p>
      <w:pPr>
        <w:pStyle w:val="76"/>
        <w:numPr>
          <w:ilvl w:val="1"/>
          <w:numId w:val="4"/>
        </w:numPr>
        <w:spacing w:after="120"/>
        <w:ind w:left="1440" w:leftChars="0" w:hanging="360" w:firstLineChars="0"/>
        <w:rPr>
          <w:i/>
          <w:iCs/>
          <w:sz w:val="20"/>
          <w:szCs w:val="20"/>
          <w:lang w:eastAsia="zh-CN"/>
        </w:rPr>
      </w:pPr>
      <w:r>
        <w:rPr>
          <w:i/>
          <w:iCs/>
          <w:sz w:val="20"/>
          <w:szCs w:val="20"/>
          <w:lang w:eastAsia="zh-CN"/>
        </w:rPr>
        <w:t>the [9] can be updated to the same number as in core requirement if any updates on the core requirements.</w:t>
      </w:r>
    </w:p>
    <w:p>
      <w:pPr>
        <w:pStyle w:val="76"/>
        <w:numPr>
          <w:ilvl w:val="1"/>
          <w:numId w:val="4"/>
        </w:numPr>
        <w:spacing w:after="120"/>
        <w:ind w:left="1440" w:leftChars="0" w:hanging="360" w:firstLineChars="0"/>
        <w:rPr>
          <w:i/>
          <w:iCs/>
          <w:sz w:val="20"/>
          <w:szCs w:val="20"/>
          <w:lang w:eastAsia="zh-CN"/>
        </w:rPr>
      </w:pPr>
      <w:r>
        <w:rPr>
          <w:i/>
          <w:iCs/>
          <w:sz w:val="20"/>
          <w:szCs w:val="20"/>
          <w:lang w:eastAsia="zh-CN"/>
        </w:rPr>
        <w:t>Pcell has [higher or lower] EPRE than Scell.</w:t>
      </w:r>
    </w:p>
    <w:p>
      <w:pPr>
        <w:pStyle w:val="76"/>
        <w:numPr>
          <w:ilvl w:val="1"/>
          <w:numId w:val="4"/>
        </w:numPr>
        <w:spacing w:after="120"/>
        <w:ind w:left="1440" w:leftChars="0" w:hanging="360" w:firstLineChars="0"/>
        <w:rPr>
          <w:i/>
          <w:iCs/>
          <w:sz w:val="20"/>
          <w:szCs w:val="20"/>
          <w:lang w:eastAsia="zh-CN"/>
        </w:rPr>
      </w:pPr>
      <w:r>
        <w:rPr>
          <w:i/>
          <w:iCs/>
          <w:sz w:val="20"/>
          <w:szCs w:val="20"/>
          <w:lang w:eastAsia="zh-CN"/>
        </w:rPr>
        <w:t>Further discuss whether and how [ΔPL] can be reflected in the TC.</w:t>
      </w:r>
    </w:p>
    <w:p>
      <w:pPr>
        <w:pStyle w:val="76"/>
        <w:numPr>
          <w:ilvl w:val="2"/>
          <w:numId w:val="4"/>
        </w:numPr>
        <w:spacing w:after="120"/>
        <w:ind w:left="2160" w:leftChars="0" w:hanging="360" w:firstLineChars="0"/>
        <w:rPr>
          <w:i/>
          <w:iCs/>
          <w:sz w:val="20"/>
          <w:szCs w:val="20"/>
          <w:lang w:eastAsia="zh-CN"/>
        </w:rPr>
      </w:pPr>
      <w:r>
        <w:rPr>
          <w:i/>
          <w:iCs/>
          <w:sz w:val="20"/>
          <w:szCs w:val="20"/>
          <w:lang w:eastAsia="zh-CN"/>
        </w:rPr>
        <w:t>ΔPL is the power difference caused by BW difference and/or frequency difference between two Cells.</w:t>
      </w:r>
    </w:p>
    <w:p>
      <w:pPr>
        <w:pStyle w:val="76"/>
        <w:numPr>
          <w:ilvl w:val="2"/>
          <w:numId w:val="4"/>
        </w:numPr>
        <w:spacing w:after="120"/>
        <w:ind w:left="2160" w:leftChars="0" w:hanging="360" w:firstLineChars="0"/>
        <w:rPr>
          <w:i/>
          <w:iCs/>
          <w:sz w:val="20"/>
          <w:szCs w:val="20"/>
          <w:lang w:eastAsia="zh-CN"/>
        </w:rPr>
      </w:pPr>
      <w:r>
        <w:rPr>
          <w:i/>
          <w:iCs/>
          <w:sz w:val="20"/>
          <w:szCs w:val="20"/>
          <w:lang w:eastAsia="zh-CN"/>
        </w:rPr>
        <w:t>Encourage concrete proposals on how ΔPL due to BW difference and PL difference can be reflected in the test.</w:t>
      </w:r>
    </w:p>
    <w:p>
      <w:pPr>
        <w:pStyle w:val="76"/>
        <w:numPr>
          <w:ilvl w:val="0"/>
          <w:numId w:val="4"/>
        </w:numPr>
        <w:spacing w:after="120"/>
        <w:ind w:firstLineChars="0"/>
        <w:rPr>
          <w:i/>
          <w:iCs/>
          <w:sz w:val="20"/>
          <w:szCs w:val="20"/>
          <w:lang w:eastAsia="zh-CN"/>
        </w:rPr>
      </w:pPr>
      <w:r>
        <w:rPr>
          <w:i/>
          <w:iCs/>
          <w:sz w:val="20"/>
          <w:szCs w:val="20"/>
          <w:lang w:eastAsia="zh-CN"/>
        </w:rPr>
        <w:t>The TCI.State.0 could be used for the TRS of the SSB-less SCell with an additional note that the reference signal is SSB0 from spCell.</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Considering the EPRE difference may be larger than 9dB in real network, we think it is rather important to test the pre-compensation behavior of the UE.</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Since RAN4 discussed the co-located inter-band CA case in this WI, the main factors which causing EPRE difference are carrier frequency difference and BW difference between cells. In test case, the BW is same between cells, therefore, we only need to care the pathloss difference caused by carrier frequency. For this part, we think we can use 20log(fc) in our test case to approximatively simulate most of the channel models, as in TR 38.901. Thus, the ΔPL =  </w:t>
      </w:r>
      <w:r>
        <w:rPr>
          <w:rFonts w:hint="default" w:eastAsia="宋体" w:cs="Times New Roman"/>
          <w:sz w:val="20"/>
          <w:szCs w:val="20"/>
          <w:lang w:val="en-US" w:eastAsia="zh-CN" w:bidi="ar-SA"/>
        </w:rPr>
        <w:t>20 log(f</w:t>
      </w:r>
      <w:r>
        <w:rPr>
          <w:rFonts w:hint="eastAsia" w:eastAsia="宋体" w:cs="Times New Roman"/>
          <w:sz w:val="20"/>
          <w:szCs w:val="20"/>
          <w:vertAlign w:val="subscript"/>
          <w:lang w:val="en-US" w:eastAsia="zh-CN" w:bidi="ar-SA"/>
        </w:rPr>
        <w:t>c</w:t>
      </w:r>
      <w:r>
        <w:rPr>
          <w:rFonts w:hint="default" w:eastAsia="宋体" w:cs="Times New Roman"/>
          <w:sz w:val="20"/>
          <w:szCs w:val="20"/>
          <w:lang w:val="en-US" w:eastAsia="zh-CN" w:bidi="ar-SA"/>
        </w:rPr>
        <w:t>1/f</w:t>
      </w:r>
      <w:r>
        <w:rPr>
          <w:rFonts w:hint="eastAsia" w:eastAsia="宋体" w:cs="Times New Roman"/>
          <w:sz w:val="20"/>
          <w:szCs w:val="20"/>
          <w:vertAlign w:val="subscript"/>
          <w:lang w:val="en-US" w:eastAsia="zh-CN" w:bidi="ar-SA"/>
        </w:rPr>
        <w:t>c</w:t>
      </w:r>
      <w:r>
        <w:rPr>
          <w:rFonts w:hint="default" w:eastAsia="宋体" w:cs="Times New Roman"/>
          <w:sz w:val="20"/>
          <w:szCs w:val="20"/>
          <w:lang w:val="en-US" w:eastAsia="zh-CN" w:bidi="ar-SA"/>
        </w:rPr>
        <w:t>2)</w:t>
      </w:r>
      <w:r>
        <w:rPr>
          <w:rFonts w:hint="eastAsia" w:eastAsia="宋体" w:cs="Times New Roman"/>
          <w:sz w:val="20"/>
          <w:szCs w:val="20"/>
          <w:lang w:val="en-US" w:eastAsia="zh-CN" w:bidi="ar-SA"/>
        </w:rPr>
        <w:t>.</w:t>
      </w: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  Set EPRE difference as [9 dB] + ΔPL. ΔPL is the pathloss difference caused by frequency difference between two Cells, which can be set as 20 log(fc1/fc2) in the test case.</w:t>
      </w: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Based on the discussion above, the following</w:t>
      </w:r>
      <w:r>
        <w:rPr>
          <w:rFonts w:hint="eastAsia"/>
          <w:sz w:val="20"/>
          <w:szCs w:val="20"/>
          <w:lang w:val="en-US" w:eastAsia="zh-CN"/>
        </w:rPr>
        <w:t xml:space="preserve"> </w:t>
      </w:r>
      <w:r>
        <w:rPr>
          <w:sz w:val="20"/>
          <w:szCs w:val="20"/>
        </w:rPr>
        <w:t xml:space="preserve">proposals are concluded. </w:t>
      </w:r>
      <w:bookmarkEnd w:id="7"/>
      <w:bookmarkEnd w:id="8"/>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  Set EPRE difference as [9 dB] + ΔPL. ΔPL is the pathloss difference caused by frequency difference between two Cells, which can be set as 20 log(fc1/fc2) in the test case.</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5"/>
        </w:numPr>
        <w:rPr>
          <w:rFonts w:hint="eastAsia"/>
          <w:sz w:val="20"/>
          <w:szCs w:val="20"/>
          <w:lang w:val="en-GB" w:eastAsia="zh-CN"/>
        </w:rPr>
      </w:pPr>
      <w:r>
        <w:rPr>
          <w:rFonts w:hint="eastAsia"/>
          <w:sz w:val="20"/>
          <w:szCs w:val="20"/>
          <w:lang w:val="en-US" w:eastAsia="zh-CN"/>
        </w:rPr>
        <w:t xml:space="preserve">R4-2406301, WF on RRM requirements for NR network energy saving, </w:t>
      </w:r>
      <w:r>
        <w:rPr>
          <w:rFonts w:hint="eastAsia"/>
          <w:sz w:val="20"/>
          <w:szCs w:val="20"/>
          <w:lang w:val="en-GB" w:eastAsia="zh-CN"/>
        </w:rPr>
        <w:t>Huawei, HiSilicon.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44A01B1"/>
    <w:multiLevelType w:val="multilevel"/>
    <w:tmpl w:val="444A01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D9E"/>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843272"/>
    <w:rsid w:val="024A1251"/>
    <w:rsid w:val="03F16F56"/>
    <w:rsid w:val="0434763B"/>
    <w:rsid w:val="043B00F7"/>
    <w:rsid w:val="059B2FBB"/>
    <w:rsid w:val="064C7649"/>
    <w:rsid w:val="06C938D1"/>
    <w:rsid w:val="0775691E"/>
    <w:rsid w:val="08966482"/>
    <w:rsid w:val="09063CAD"/>
    <w:rsid w:val="091F2183"/>
    <w:rsid w:val="0AC91636"/>
    <w:rsid w:val="0AD74098"/>
    <w:rsid w:val="0C6F5959"/>
    <w:rsid w:val="105C4837"/>
    <w:rsid w:val="10705C68"/>
    <w:rsid w:val="12600B3E"/>
    <w:rsid w:val="12F708E7"/>
    <w:rsid w:val="12FB52D6"/>
    <w:rsid w:val="144F009D"/>
    <w:rsid w:val="16CB745F"/>
    <w:rsid w:val="175519EF"/>
    <w:rsid w:val="18662412"/>
    <w:rsid w:val="187D5813"/>
    <w:rsid w:val="19112EE8"/>
    <w:rsid w:val="198E3F9B"/>
    <w:rsid w:val="19977565"/>
    <w:rsid w:val="1C4140A3"/>
    <w:rsid w:val="1C7E3BD3"/>
    <w:rsid w:val="1D2B280C"/>
    <w:rsid w:val="1D5B4C92"/>
    <w:rsid w:val="1D5F76BA"/>
    <w:rsid w:val="1DE54287"/>
    <w:rsid w:val="1EAE1718"/>
    <w:rsid w:val="1EB2708E"/>
    <w:rsid w:val="1F235F77"/>
    <w:rsid w:val="21F31B70"/>
    <w:rsid w:val="22394DC0"/>
    <w:rsid w:val="2261677D"/>
    <w:rsid w:val="23624360"/>
    <w:rsid w:val="23CF38CC"/>
    <w:rsid w:val="24DD176E"/>
    <w:rsid w:val="261068DB"/>
    <w:rsid w:val="26455B2C"/>
    <w:rsid w:val="267D49F1"/>
    <w:rsid w:val="26C167B6"/>
    <w:rsid w:val="27444C56"/>
    <w:rsid w:val="2884631A"/>
    <w:rsid w:val="28A67D37"/>
    <w:rsid w:val="2A2B6CE0"/>
    <w:rsid w:val="2A807AE4"/>
    <w:rsid w:val="2BC147AE"/>
    <w:rsid w:val="2C5C2FEC"/>
    <w:rsid w:val="2C770231"/>
    <w:rsid w:val="2D08550D"/>
    <w:rsid w:val="2D202CAF"/>
    <w:rsid w:val="2D921625"/>
    <w:rsid w:val="2E464966"/>
    <w:rsid w:val="2F5838B9"/>
    <w:rsid w:val="3007171F"/>
    <w:rsid w:val="30217EC0"/>
    <w:rsid w:val="328A418D"/>
    <w:rsid w:val="3346489F"/>
    <w:rsid w:val="33800826"/>
    <w:rsid w:val="34785525"/>
    <w:rsid w:val="36D343EA"/>
    <w:rsid w:val="372F4478"/>
    <w:rsid w:val="377238AA"/>
    <w:rsid w:val="3A10328B"/>
    <w:rsid w:val="3A326AA7"/>
    <w:rsid w:val="3A622FD7"/>
    <w:rsid w:val="3B117DCA"/>
    <w:rsid w:val="3D1F5AB0"/>
    <w:rsid w:val="3D4B4163"/>
    <w:rsid w:val="3DCE20FC"/>
    <w:rsid w:val="3E567BF4"/>
    <w:rsid w:val="405A17C8"/>
    <w:rsid w:val="414D1E81"/>
    <w:rsid w:val="41766342"/>
    <w:rsid w:val="4195149B"/>
    <w:rsid w:val="42272596"/>
    <w:rsid w:val="42D1280C"/>
    <w:rsid w:val="44274B3C"/>
    <w:rsid w:val="44366E8E"/>
    <w:rsid w:val="46A8131D"/>
    <w:rsid w:val="46DB4C8A"/>
    <w:rsid w:val="47B63C6D"/>
    <w:rsid w:val="484B50E6"/>
    <w:rsid w:val="492D282C"/>
    <w:rsid w:val="49BC448E"/>
    <w:rsid w:val="4AA27C3D"/>
    <w:rsid w:val="4B1E335D"/>
    <w:rsid w:val="4B920C94"/>
    <w:rsid w:val="4CC9678E"/>
    <w:rsid w:val="4DF32423"/>
    <w:rsid w:val="4E2931CA"/>
    <w:rsid w:val="4E4D5343"/>
    <w:rsid w:val="528113A2"/>
    <w:rsid w:val="52F014E6"/>
    <w:rsid w:val="541B64BA"/>
    <w:rsid w:val="54F600E8"/>
    <w:rsid w:val="550F4C67"/>
    <w:rsid w:val="55633225"/>
    <w:rsid w:val="560918AE"/>
    <w:rsid w:val="562E2CD9"/>
    <w:rsid w:val="5670596C"/>
    <w:rsid w:val="56864D16"/>
    <w:rsid w:val="575F74D4"/>
    <w:rsid w:val="58A81009"/>
    <w:rsid w:val="58AA2F55"/>
    <w:rsid w:val="5909170D"/>
    <w:rsid w:val="59316355"/>
    <w:rsid w:val="599D4FED"/>
    <w:rsid w:val="5A0D7524"/>
    <w:rsid w:val="5A1E05E5"/>
    <w:rsid w:val="5A624644"/>
    <w:rsid w:val="5B1248DB"/>
    <w:rsid w:val="5B222BDF"/>
    <w:rsid w:val="5B4119AE"/>
    <w:rsid w:val="5E19471E"/>
    <w:rsid w:val="5EC475D6"/>
    <w:rsid w:val="5ED708E1"/>
    <w:rsid w:val="5EFC6FEB"/>
    <w:rsid w:val="5FB05672"/>
    <w:rsid w:val="60046178"/>
    <w:rsid w:val="62CD0963"/>
    <w:rsid w:val="62DF6110"/>
    <w:rsid w:val="63814A0D"/>
    <w:rsid w:val="63B23700"/>
    <w:rsid w:val="63FE2CAB"/>
    <w:rsid w:val="65451723"/>
    <w:rsid w:val="65F01BB1"/>
    <w:rsid w:val="667C7355"/>
    <w:rsid w:val="6717413C"/>
    <w:rsid w:val="68712ECC"/>
    <w:rsid w:val="68DC62AF"/>
    <w:rsid w:val="69C03B0F"/>
    <w:rsid w:val="6A1B0A0D"/>
    <w:rsid w:val="6AC923B1"/>
    <w:rsid w:val="6B8B57B2"/>
    <w:rsid w:val="6BDC7C84"/>
    <w:rsid w:val="6C0F6467"/>
    <w:rsid w:val="6CEC68F6"/>
    <w:rsid w:val="6E0B7EE8"/>
    <w:rsid w:val="714F65D4"/>
    <w:rsid w:val="727805A8"/>
    <w:rsid w:val="738E1AE0"/>
    <w:rsid w:val="73B23D33"/>
    <w:rsid w:val="75307AD5"/>
    <w:rsid w:val="75FA3264"/>
    <w:rsid w:val="767543BB"/>
    <w:rsid w:val="79951646"/>
    <w:rsid w:val="79AB0B34"/>
    <w:rsid w:val="7B2569DF"/>
    <w:rsid w:val="7BBB337B"/>
    <w:rsid w:val="7C3B4CC2"/>
    <w:rsid w:val="7D30627A"/>
    <w:rsid w:val="7DDF358F"/>
    <w:rsid w:val="7E86642D"/>
    <w:rsid w:val="7FB131D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99"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1"/>
    <w:qFormat/>
    <w:uiPriority w:val="0"/>
    <w:pPr>
      <w:ind w:left="1135"/>
    </w:pPr>
  </w:style>
  <w:style w:type="paragraph" w:styleId="11">
    <w:name w:val="List 2"/>
    <w:basedOn w:val="12"/>
    <w:qFormat/>
    <w:uiPriority w:val="99"/>
    <w:pPr>
      <w:ind w:left="851"/>
    </w:pPr>
  </w:style>
  <w:style w:type="paragraph" w:styleId="12">
    <w:name w:val="List"/>
    <w:basedOn w:val="1"/>
    <w:semiHidden/>
    <w:unhideWhenUsed/>
    <w:qFormat/>
    <w:uiPriority w:val="99"/>
    <w:pPr>
      <w:ind w:left="200" w:hanging="200" w:hangingChars="200"/>
      <w:contextualSpacing/>
    </w:pPr>
  </w:style>
  <w:style w:type="paragraph" w:styleId="13">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4">
    <w:name w:val="Document Map"/>
    <w:basedOn w:val="1"/>
    <w:link w:val="28"/>
    <w:semiHidden/>
    <w:unhideWhenUsed/>
    <w:qFormat/>
    <w:uiPriority w:val="99"/>
    <w:rPr>
      <w:rFonts w:ascii="Cambria Math" w:hAnsi="Cambria Math" w:eastAsia="Cambria Math"/>
      <w:sz w:val="20"/>
      <w:szCs w:val="20"/>
    </w:rPr>
  </w:style>
  <w:style w:type="paragraph" w:styleId="15">
    <w:name w:val="annotation text"/>
    <w:basedOn w:val="1"/>
    <w:link w:val="50"/>
    <w:unhideWhenUsed/>
    <w:qFormat/>
    <w:uiPriority w:val="99"/>
  </w:style>
  <w:style w:type="paragraph" w:styleId="16">
    <w:name w:val="Balloon Text"/>
    <w:basedOn w:val="1"/>
    <w:link w:val="48"/>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5"/>
    <w:next w:val="15"/>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4"/>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3"/>
    <w:qFormat/>
    <w:uiPriority w:val="0"/>
    <w:rPr>
      <w:rFonts w:ascii="Courier New" w:hAnsi="Courier New"/>
      <w:b/>
      <w:kern w:val="20"/>
      <w:sz w:val="16"/>
      <w:lang w:eastAsia="en-US" w:bidi="ar-SA"/>
    </w:rPr>
  </w:style>
  <w:style w:type="character" w:customStyle="1" w:styleId="48">
    <w:name w:val="批注框文本 字符"/>
    <w:link w:val="16"/>
    <w:semiHidden/>
    <w:qFormat/>
    <w:uiPriority w:val="99"/>
    <w:rPr>
      <w:rFonts w:ascii="Cambria Math" w:eastAsia="Cambria Math"/>
      <w:sz w:val="18"/>
      <w:szCs w:val="18"/>
    </w:rPr>
  </w:style>
  <w:style w:type="character" w:customStyle="1" w:styleId="49">
    <w:name w:val="页脚 字符"/>
    <w:link w:val="17"/>
    <w:qFormat/>
    <w:uiPriority w:val="99"/>
    <w:rPr>
      <w:sz w:val="18"/>
      <w:szCs w:val="18"/>
    </w:rPr>
  </w:style>
  <w:style w:type="character" w:customStyle="1" w:styleId="50">
    <w:name w:val="批注文字 字符"/>
    <w:basedOn w:val="23"/>
    <w:link w:val="15"/>
    <w:qFormat/>
    <w:uiPriority w:val="99"/>
  </w:style>
  <w:style w:type="character" w:customStyle="1" w:styleId="51">
    <w:name w:val="批注主题 字符"/>
    <w:link w:val="20"/>
    <w:semiHidden/>
    <w:qFormat/>
    <w:uiPriority w:val="99"/>
    <w:rPr>
      <w:b/>
      <w:bCs/>
    </w:rPr>
  </w:style>
  <w:style w:type="paragraph" w:customStyle="1" w:styleId="52">
    <w:name w:val="B1"/>
    <w:basedOn w:val="12"/>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20</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CMCC-shiyuan-0510</cp:lastModifiedBy>
  <dcterms:modified xsi:type="dcterms:W3CDTF">2024-05-13T07:57:21Z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